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szCs w:val="24"/>
          <w:rtl w:val="0"/>
        </w:rPr>
        <w:t xml:space="preserve">1. The Japanese Internment camps were implemented in 3 phases, first Roosevelt gave order 9066, then the Japanese were sent to internment camps in the West, finally they received restitution payments several years later.  (Sequence)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 The Japanese internment camps were one of the most blatant forms of discrimination because only the Japanese on the West Coast were affected, many lost belongings and land, and their traditions were completely discounted. (Description/Explanation)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 The Japanese internment camps were a direct effect of the attack on Pearl Harbor, and the American people’s distrust of anyone of Japanese descent following that crisis. (Cause/Effect)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4. After the attack on Pearl Harbor, many Americans saw the Japanese American population as a growing threat, so they interned Japanese citizens in camps to protect from further attacks, which was pointless since Japanese American citizens were not responsible for attacks against the United States. (Problem/Solution)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5. The Japanese internment camps in America were sadly quite similar to the Nazi Concentration Camps in Europe in some aspects, though they were very different in some ways. (Compare/Contrast).</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